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rtl w:val="0"/>
        </w:rPr>
        <w:t xml:space="preserve">AP English 4/GT Humanities 4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4616.000000000002" w:type="dxa"/>
        <w:jc w:val="left"/>
        <w:tblInd w:w="-115.0" w:type="dxa"/>
        <w:tblBorders>
          <w:top w:color="bfbfbf" w:space="0" w:sz="8" w:val="single"/>
          <w:bottom w:color="bfbfbf" w:space="0" w:sz="8" w:val="single"/>
        </w:tblBorders>
        <w:tblLayout w:type="fixed"/>
        <w:tblLook w:val="0400"/>
      </w:tblPr>
      <w:tblGrid>
        <w:gridCol w:w="12079"/>
        <w:gridCol w:w="2537"/>
        <w:tblGridChange w:id="0">
          <w:tblGrid>
            <w:gridCol w:w="12079"/>
            <w:gridCol w:w="2537"/>
          </w:tblGrid>
        </w:tblGridChange>
      </w:tblGrid>
      <w:tr>
        <w:trPr>
          <w:trHeight w:val="9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Questrial" w:cs="Questrial" w:eastAsia="Questrial" w:hAnsi="Questrial"/>
                <w:b w:val="1"/>
                <w:sz w:val="96"/>
                <w:szCs w:val="96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96"/>
                <w:szCs w:val="96"/>
                <w:rtl w:val="0"/>
              </w:rPr>
              <w:t xml:space="preserve">201</w:t>
            </w:r>
            <w:r w:rsidDel="00000000" w:rsidR="00000000" w:rsidRPr="00000000">
              <w:rPr>
                <w:b w:val="1"/>
                <w:sz w:val="96"/>
                <w:szCs w:val="9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616.0" w:type="dxa"/>
        <w:jc w:val="left"/>
        <w:tblInd w:w="-11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20"/>
      </w:tblPr>
      <w:tblGrid>
        <w:gridCol w:w="2088"/>
        <w:gridCol w:w="2088"/>
        <w:gridCol w:w="2088"/>
        <w:gridCol w:w="2088"/>
        <w:gridCol w:w="3259"/>
        <w:gridCol w:w="1456"/>
        <w:gridCol w:w="1549"/>
        <w:tblGridChange w:id="0">
          <w:tblGrid>
            <w:gridCol w:w="2088"/>
            <w:gridCol w:w="2088"/>
            <w:gridCol w:w="2088"/>
            <w:gridCol w:w="2088"/>
            <w:gridCol w:w="3259"/>
            <w:gridCol w:w="1456"/>
            <w:gridCol w:w="1549"/>
          </w:tblGrid>
        </w:tblGridChange>
      </w:tblGrid>
      <w:tr>
        <w:tc>
          <w:tcPr>
            <w:tcBorders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7f7f7f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7f7f7f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 CX=Complex sentence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CPCX=Compound complex sentence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CP=Compound Sentence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NSC= Noun</w:t>
            </w:r>
            <w:r w:rsidDel="00000000" w:rsidR="00000000" w:rsidRPr="00000000">
              <w:rPr>
                <w:rFonts w:ascii="Questrial" w:cs="Questrial" w:eastAsia="Questrial" w:hAnsi="Questrial"/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PrPP=Present Participial Phrases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Subordinating Clause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ADVSC=Adverbial Subordinating Conjunctions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1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ADVSC Lesson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Writing to Show #2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SAT Vocab #10 Review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WTS #2 due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Lesson #10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ADJSC=Adjective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Subordinating Clause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Labor Day</w:t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Homecoming 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ADVSC lesson</w:t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 Homecoming 7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ADVSC practice </w:t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Homecoming Game 8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Foster/Short Story Discussion</w:t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tabs>
                <w:tab w:val="right" w:pos="1872"/>
              </w:tabs>
              <w:spacing w:after="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tabs>
                <w:tab w:val="right" w:pos="1872"/>
              </w:tabs>
              <w:spacing w:after="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Foster/</w:t>
            </w:r>
          </w:p>
          <w:p w:rsidR="00000000" w:rsidDel="00000000" w:rsidP="00000000" w:rsidRDefault="00000000" w:rsidRPr="00000000">
            <w:pPr>
              <w:tabs>
                <w:tab w:val="right" w:pos="1872"/>
              </w:tabs>
              <w:spacing w:after="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Short Story</w:t>
            </w:r>
          </w:p>
          <w:p w:rsidR="00000000" w:rsidDel="00000000" w:rsidP="00000000" w:rsidRDefault="00000000" w:rsidRPr="00000000">
            <w:pPr>
              <w:tabs>
                <w:tab w:val="right" w:pos="1872"/>
              </w:tabs>
              <w:spacing w:after="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ADVSC practice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Writing to Show #3 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WTS #3 due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PrPP X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ADVSC x 2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Elaboration and Showing Writing 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(E3) (SH)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Brainstorm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College Application Essay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SAT Vocab Review #11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Foster/Short Story Discussion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Lesson #11 Quiz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6:00 Meet the Teacher??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Compound Sentences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Writing to Show #4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WTS #4 due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Cornell Notes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Old English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Beowulf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Beowulf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Beowulf Socratic Seminar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Summative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  <w:shd w:fill="f7f7f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                                      29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Oct 1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Turnitin.com 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Submit college app essay by midnight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sz w:val="18"/>
                <w:szCs w:val="18"/>
                <w:rtl w:val="0"/>
              </w:rPr>
              <w:t xml:space="preserve">Peer Review College Application Essay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sz w:val="18"/>
                <w:szCs w:val="18"/>
                <w:rtl w:val="0"/>
              </w:rPr>
              <w:t xml:space="preserve">College App Essay Revision #1 open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sz w:val="18"/>
                <w:szCs w:val="18"/>
                <w:rtl w:val="0"/>
              </w:rPr>
              <w:t xml:space="preserve"> Foster/Short Story Discussion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right"/>
            </w:pPr>
            <w:r w:rsidDel="00000000" w:rsidR="00000000" w:rsidRPr="00000000">
              <w:rPr>
                <w:color w:val="ff0000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Cornell Notes – Middle English</w:t>
            </w:r>
          </w:p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Canterbury 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Cornell Notes due</w:t>
            </w:r>
          </w:p>
        </w:tc>
        <w:tc>
          <w:tcPr>
            <w:tcBorders>
              <w:top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7f7f7"/>
          </w:tcPr>
          <w:p w:rsidR="00000000" w:rsidDel="00000000" w:rsidP="00000000" w:rsidRDefault="00000000" w:rsidRPr="00000000">
            <w:pPr>
              <w:spacing w:after="40" w:before="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Questrial" w:cs="Questrial" w:eastAsia="Questrial" w:hAnsi="Questrial"/>
      <w:b w:val="1"/>
      <w:smallCaps w:val="1"/>
      <w:sz w:val="96"/>
      <w:szCs w:val="9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Questrial" w:cs="Questrial" w:eastAsia="Questrial" w:hAnsi="Quest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240" w:line="240" w:lineRule="auto"/>
    </w:pPr>
    <w:rPr>
      <w:rFonts w:ascii="Questrial" w:cs="Questrial" w:eastAsia="Questrial" w:hAnsi="Questrial"/>
      <w:b w:val="0"/>
      <w:color w:val="073779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>
      <w:pPr>
        <w:contextualSpacing w:val="1"/>
      </w:pPr>
      <w:rPr/>
      <w:tcPr>
        <w:shd w:fill="5590cc"/>
        <w:tcMar>
          <w:left w:w="115.0" w:type="dxa"/>
          <w:right w:w="115.0" w:type="dxa"/>
        </w:tcMar>
      </w:tcPr>
    </w:tblStylePr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9D53A-E894-4E2D-8CC5-918AAA8DE7CD}"/>
</file>

<file path=customXml/itemProps2.xml><?xml version="1.0" encoding="utf-8"?>
<ds:datastoreItem xmlns:ds="http://schemas.openxmlformats.org/officeDocument/2006/customXml" ds:itemID="{3593F495-742A-402B-A1A2-7DDC0EB18349}"/>
</file>

<file path=customXml/itemProps3.xml><?xml version="1.0" encoding="utf-8"?>
<ds:datastoreItem xmlns:ds="http://schemas.openxmlformats.org/officeDocument/2006/customXml" ds:itemID="{76A6CB37-048D-45C1-956D-F0CC55FF1DC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